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numbering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5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kst"/>
        <w:spacing w:lineRule="atLeast" w:line="300"/>
        <w:jc w:val="right"/>
        <w:rPr>
          <w:lang w:val="pl-PL"/>
        </w:rPr>
      </w:pPr>
      <w:r>
        <w:rPr>
          <w:lang w:val="pl-PL"/>
        </w:rPr>
        <w:t>Warszawa, 20 kwietnia 2022 r.</w:t>
      </w:r>
    </w:p>
    <w:p>
      <w:pPr>
        <w:pStyle w:val="Bodytekst"/>
        <w:spacing w:lineRule="atLeast" w:line="300"/>
        <w:jc w:val="right"/>
        <w:rPr>
          <w:lang w:val="pl-PL"/>
        </w:rPr>
      </w:pPr>
      <w:r>
        <w:rPr>
          <w:lang w:val="pl-PL"/>
        </w:rPr>
      </w:r>
    </w:p>
    <w:p>
      <w:pPr>
        <w:pStyle w:val="Bodytekst"/>
        <w:spacing w:lineRule="atLeast" w:line="300"/>
        <w:rPr>
          <w:sz w:val="22"/>
          <w:szCs w:val="22"/>
        </w:rPr>
      </w:pPr>
      <w:r>
        <w:rPr>
          <w:i/>
          <w:iCs/>
          <w:sz w:val="22"/>
          <w:szCs w:val="22"/>
          <w:u w:val="single"/>
          <w:lang w:val="pl-PL"/>
        </w:rPr>
        <w:t xml:space="preserve">Informacja prasowa </w:t>
      </w:r>
    </w:p>
    <w:p>
      <w:pPr>
        <w:pStyle w:val="Bodytekst"/>
        <w:spacing w:lineRule="atLeast" w:line="300"/>
        <w:rPr>
          <w:i/>
          <w:i/>
          <w:iCs/>
          <w:u w:val="single"/>
          <w:lang w:val="pl-PL"/>
        </w:rPr>
      </w:pPr>
      <w:r>
        <w:rPr>
          <w:i/>
          <w:iCs/>
          <w:u w:val="single"/>
          <w:lang w:val="pl-PL"/>
        </w:rPr>
      </w:r>
    </w:p>
    <w:p>
      <w:pPr>
        <w:pStyle w:val="Tytul"/>
        <w:tabs>
          <w:tab w:val="clear" w:pos="708"/>
          <w:tab w:val="left" w:pos="345" w:leader="none"/>
          <w:tab w:val="left" w:pos="1440" w:leader="none"/>
        </w:tabs>
        <w:rPr/>
      </w:pPr>
      <w:r>
        <w:rPr>
          <w:sz w:val="32"/>
          <w:szCs w:val="32"/>
        </w:rPr>
        <w:t>W Polsce nawet 80% osób z pierwotnymi niedoborami odporności wciąż pozostaje niezdiagnozowanych</w:t>
      </w:r>
    </w:p>
    <w:p>
      <w:pPr>
        <w:pStyle w:val="Punktory"/>
        <w:numPr>
          <w:ilvl w:val="0"/>
          <w:numId w:val="4"/>
        </w:numPr>
        <w:spacing w:lineRule="auto" w:line="276"/>
        <w:rPr/>
      </w:pPr>
      <w:r>
        <w:rPr>
          <w:rFonts w:cs="Arial Black"/>
          <w:b/>
          <w:bCs/>
          <w:lang w:val="pl-PL"/>
        </w:rPr>
        <w:t xml:space="preserve">Pierwotne niedobory odporności (PNO) to grupa zaburzeń spowodowanych nieprawidłowym funkcjonowaniem układu immunologicznego lub jego brakiem zdolności do zwalczania zakażeń. PNO mogą być diagnozowane w każdym wieku. Szacuje się, że w Polsce cierpi na nie ok. 20 000 osób, a tylko 4000–5000 przypadków zostało do tej pory wykrytych. </w:t>
      </w:r>
    </w:p>
    <w:p>
      <w:pPr>
        <w:pStyle w:val="Punktory"/>
        <w:numPr>
          <w:ilvl w:val="0"/>
          <w:numId w:val="4"/>
        </w:numPr>
        <w:spacing w:lineRule="auto" w:line="276"/>
        <w:rPr/>
      </w:pPr>
      <w:r>
        <w:rPr>
          <w:rFonts w:cs="Arial Black"/>
          <w:b/>
          <w:bCs/>
          <w:lang w:val="pl-PL"/>
        </w:rPr>
        <w:t>Wczesne wykrycie choroby oraz wdrożenie odpowiedniego leczenia, pozwala zmniejszyć częstość infekcji i poważnych powikłań układowych. W zależności od typu PNO leczenie ma różnorodny przebieg. Najczęściej pacjenci potrzebują regularnego uzupełniania niedoborów przeciwciał, czyli tzw. terapii zastępczej immunoglobulinami (IGRT). Takie leczenie trwa z reguły całe życie. Produkty do terapii zastępczej są pozyskiwane z osocza krwi, którego dawcą jest zdrowa osoba.</w:t>
      </w:r>
    </w:p>
    <w:p>
      <w:pPr>
        <w:pStyle w:val="Punktory"/>
        <w:numPr>
          <w:ilvl w:val="0"/>
          <w:numId w:val="4"/>
        </w:numPr>
        <w:spacing w:lineRule="auto" w:line="276" w:before="0" w:after="283"/>
        <w:rPr>
          <w:b/>
          <w:b/>
          <w:bCs/>
          <w:lang w:val="pl-PL"/>
        </w:rPr>
      </w:pPr>
      <w:r>
        <w:rPr>
          <w:rFonts w:cs="Arial Black"/>
          <w:b/>
          <w:bCs/>
          <w:lang w:val="pl-PL"/>
        </w:rPr>
        <w:t>Startuje kampania edukacyjna „Odpornością można się dzielić. Jak mogę pomóc?” mająca na celu zwiększenie świadomości społecznej na temat pierwotnych niedoborów odporności oraz osocza jako bezcennego daru, którym większość z nas może podzielić się z potrzebującymi.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</w:rPr>
        <w:t>Kaja ma 7 lat. Pierwotny niedobór odporności wykryto u niej wkrótce po urodzeniu. Był to czas, kiedy jej starszy brat, również ze zdiagnozowanym PNO, nie miał jeszcze wdrożonego właściwego leczenia. Często „łapał” infekcje, a siostra się od niego zarażała. Pierwsze podanie immunoglobulin, jeszcze dożylne w szpitalu, dziewczynka miała w wieku 3 lat. Bardzo szybko zastąpiono je preparatem immunoglobulin podawanym w domu, co przełożyło się na wzrost komfortu życia dla całej rodziny. Przede wszystkim jednak dzięki terapii immunoglobulinami u Kai znacząco zmniejszyła się częstotliwość chorowania.</w:t>
      </w:r>
      <w:r>
        <w:rPr>
          <w:rFonts w:ascii="Arial" w:hAnsi="Arial"/>
          <w:b/>
          <w:bCs/>
        </w:rPr>
        <w:t xml:space="preserve"> Wczesna diagnostyka i wdrożenie właściwego leczenia sprawiły, że jej codzienność nie odbiega od codzienności rówieśników.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 xml:space="preserve">Po lekcjach chodzę na angielski, dwa razy w tygodniu mam trening siatkówki. Ostatnio zaczęłam też uczestniczyć w zajęciach na Dziecięcej Politechnice Świętokrzyskiej. Jeżdżę na rowerze, hulajnodze i bawię się ze swoją kotką Nelą. Dzięki temu, że pani doktor wcześnie postawiła diagnozę, przyjmuję immunoglobuliny i mogę robić to, co robią inne dzieci </w:t>
      </w:r>
      <w:r>
        <w:rPr>
          <w:rFonts w:cs="Calibri" w:ascii="Arial" w:hAnsi="Arial" w:cstheme="minorHAnsi"/>
          <w:color w:val="000000"/>
        </w:rPr>
        <w:t xml:space="preserve">– opowiada </w:t>
      </w:r>
      <w:r>
        <w:rPr>
          <w:rFonts w:cs="Calibri" w:ascii="Arial" w:hAnsi="Arial" w:cstheme="minorHAnsi"/>
          <w:b/>
          <w:bCs/>
          <w:color w:val="000000"/>
        </w:rPr>
        <w:t>Kaja</w:t>
      </w:r>
      <w:r>
        <w:rPr>
          <w:rFonts w:cs="Calibri" w:ascii="Arial" w:hAnsi="Arial" w:cstheme="minorHAnsi"/>
          <w:color w:val="000000"/>
        </w:rPr>
        <w:t xml:space="preserve">, ambasadorka kampanii </w:t>
      </w:r>
      <w:r>
        <w:rPr>
          <w:rFonts w:cs="Calibri" w:ascii="Arial" w:hAnsi="Arial" w:cstheme="minorHAnsi"/>
          <w:b/>
          <w:bCs/>
          <w:color w:val="000000"/>
        </w:rPr>
        <w:t>„</w:t>
      </w:r>
      <w:r>
        <w:rPr>
          <w:rFonts w:cs="Calibri" w:ascii="Arial" w:hAnsi="Arial"/>
          <w:b/>
          <w:bCs/>
          <w:color w:val="000000"/>
        </w:rPr>
        <w:t>Odpornością można się dzielić. Jak mogę pomóc?”</w:t>
      </w:r>
      <w:r>
        <w:rPr>
          <w:rFonts w:cs="Calibri" w:ascii="Arial" w:hAnsi="Arial"/>
          <w:color w:val="000000"/>
        </w:rPr>
        <w:t xml:space="preserve">, a zarazem </w:t>
      </w:r>
      <w:r>
        <w:rPr>
          <w:rFonts w:cs="Calibri" w:ascii="Arial" w:hAnsi="Arial"/>
          <w:b/>
          <w:bCs/>
          <w:color w:val="000000"/>
        </w:rPr>
        <w:t>najmłodsza H</w:t>
      </w:r>
      <w:r>
        <w:rPr>
          <w:rFonts w:cs="Calibri" w:ascii="Arial" w:hAnsi="Arial" w:cstheme="minorHAnsi"/>
          <w:b/>
          <w:bCs/>
          <w:color w:val="000000"/>
        </w:rPr>
        <w:t>onorowa Krajowa Konsultantka do spraw Codziennego Życia z PNO i Honorowa Prezeska stowarzyszenia „Immunoprotect”.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>Odkąd Kaja ma zastosowane właściwe leczenie przede wszystkim wzrósł nasz komfort psychiczny. Nie musimy się martwić, czy dziecko jutro obudzi się chore, czy zdrowe. Wcześniej destabilizowało to naszą sytuację zawodową i rodzinną, ponieważ często musieliśmy w szybkim czasie organizować opiekę dla córki</w:t>
      </w:r>
      <w:r>
        <w:rPr>
          <w:rFonts w:ascii="Arial" w:hAnsi="Arial"/>
          <w:color w:val="000000"/>
        </w:rPr>
        <w:t xml:space="preserve"> – dzieli się doświadczeniem </w:t>
      </w:r>
      <w:r>
        <w:rPr>
          <w:rFonts w:ascii="Arial" w:hAnsi="Arial"/>
          <w:b/>
          <w:bCs/>
          <w:color w:val="000000"/>
        </w:rPr>
        <w:t>Dorota Konat</w:t>
      </w:r>
      <w:r>
        <w:rPr>
          <w:rFonts w:ascii="Arial" w:hAnsi="Arial"/>
          <w:color w:val="000000"/>
        </w:rPr>
        <w:t xml:space="preserve">, mama Kai. – </w:t>
      </w:r>
      <w:r>
        <w:rPr>
          <w:rFonts w:cs="Calibri" w:ascii="Arial" w:hAnsi="Arial" w:cstheme="minorHAnsi"/>
          <w:i/>
          <w:iCs/>
          <w:color w:val="000000"/>
        </w:rPr>
        <w:t xml:space="preserve">Dla niej najważniejsze są kontakty społeczne i to, żeby mogła chodzić do szkoły, brać udział w uroczystościach, przedstawieniach, wycieczkach. Teraz oczywiście też zdarzają się epizody infekcji, ale nie odbiegają one od zwykłych corocznych infekcji, z jakimi każdy z nas się boryka. </w:t>
      </w:r>
    </w:p>
    <w:p>
      <w:pPr>
        <w:pStyle w:val="Normal"/>
        <w:spacing w:lineRule="auto" w:line="276" w:before="0" w:after="170"/>
        <w:rPr>
          <w:rFonts w:ascii="Arial" w:hAnsi="Arial" w:cs="Calibri" w:cstheme="minorHAnsi"/>
          <w:i/>
          <w:i/>
          <w:iCs/>
          <w:color w:val="000000"/>
        </w:rPr>
      </w:pPr>
      <w:r>
        <w:rPr>
          <w:rFonts w:cs="Calibri" w:cstheme="minorHAnsi" w:ascii="Arial" w:hAnsi="Arial"/>
          <w:i/>
          <w:iCs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Arial"/>
          <w:b/>
          <w:b/>
          <w:bCs/>
          <w:color w:val="1184A8"/>
          <w:spacing w:val="2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PNO – ogromne niedoszacowanie i opóźnienia w rozpoznaniu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</w:rPr>
        <w:t xml:space="preserve">Pierwotne niedobory odporności to grupa ponad 450 różnorodnych chorób związanych z nieprawidłowym funkcjonowaniem jednego lub kilku elementów układu odpornościowego. Skutkiem tego </w:t>
      </w:r>
      <w:r>
        <w:rPr>
          <w:rFonts w:cs="Arial" w:ascii="Arial" w:hAnsi="Arial"/>
        </w:rPr>
        <w:t xml:space="preserve">mogą być m.in. nawracające zakażenia układu  oddechowego i innych narządów oraz zwiększone </w:t>
      </w:r>
      <w:r>
        <w:rPr>
          <w:rFonts w:ascii="Arial" w:hAnsi="Arial"/>
        </w:rPr>
        <w:t>ryzyko rozwoju chorób autoimmunizacyjnych czy nowotworowych. PNO są zazwyczaj diagnozowane w wieku dziecięcym, choć zdarza się, że schorzenie zostaje rozpoznane dopiero u osoby dorosłej.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</w:rPr>
        <w:t xml:space="preserve">PNO są chorobami rzadkimi, niektóre z nich niezwykle rzadkimi, a nawet ultrarzadkimi. Niemniej jednak co roku w Polsce rodzi się kilkadziesiąt dzieci z poważnymi niedoborami odporności. W naszym kraju zarówno czas rozpoznania choroby, jak i odsetek zdiagnozowanych pacjentów znacząco odbiegają od międzynarodowych standardów. </w:t>
      </w:r>
    </w:p>
    <w:p>
      <w:pPr>
        <w:pStyle w:val="Normal"/>
        <w:spacing w:lineRule="auto" w:line="276" w:before="0" w:after="17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 xml:space="preserve">W zakresie rozpoznawania pierwotnych niedoborów odporności obserwujemy w Polsce ogromne niedoszacowanie. Nawet 80% osób wciąż pozostaje niezdiagnozowanych. Rozpoznanie PNO często jest również opóźnione. Opóźnienie diagnostyczne w naszym kraju wynosi u dzieci średnio ok. 5 lat, ale zdarzają się opóźnienia 10-letnie i dłuższe. U dorosłych wskaźniki są jeszcze gorsze – średnie opóźnienie przekracza 11,5 roku, a u niektórych pacjentów nawet 20 lat </w:t>
      </w:r>
      <w:r>
        <w:rPr>
          <w:rFonts w:ascii="Arial" w:hAnsi="Arial"/>
          <w:color w:val="000000"/>
        </w:rPr>
        <w:t xml:space="preserve">– stwierdza </w:t>
      </w:r>
      <w:bookmarkStart w:id="0" w:name="__DdeLink__10714_3970736363"/>
      <w:r>
        <w:rPr>
          <w:rFonts w:ascii="Arial" w:hAnsi="Arial"/>
          <w:b/>
          <w:bCs/>
          <w:color w:val="000000"/>
        </w:rPr>
        <w:t>dr hab. Sylwia Kołtan, prof. UMK</w:t>
      </w:r>
      <w:r>
        <w:rPr>
          <w:rFonts w:ascii="Arial" w:hAnsi="Arial"/>
          <w:color w:val="000000"/>
        </w:rPr>
        <w:t>, konsultant krajowy w dziedzinie immunologii klinicznej, Katedra Pediatrii, Hematologii i Onkologii Szpitala Uniwersyteckiego nr 1 im. dr. A. Jurasza w Bydgoszczy.</w:t>
      </w:r>
      <w:bookmarkEnd w:id="0"/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Arial"/>
          <w:b/>
          <w:b/>
          <w:bCs/>
          <w:color w:val="1184A8"/>
          <w:spacing w:val="2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Objawy sugerujące niedobór odporności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</w:rPr>
        <w:t xml:space="preserve">Lista objawów ostrzegawczych pierwotnych niedoborów odporności jest zarówno u dzieci, jak i u dorosłych dość jasno sprecyzowana.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color w:val="000000"/>
        </w:rPr>
        <w:t>Dziesięć objawów ostrzegawczych PNO u dzieci to: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4 lub więcej nowych zakażeń ucha w ciągu roku,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2 lub więcej nowych zakażeń zatok w ciągu roku,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2 lub więcej zapaleń płuc w ciągu roku,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nieprzybieranie na wadze lub zahamowanie prawidłowego rozwoju dziecka,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stosowanie antybiotyków przez 2 miesiące lub dłużej z niewielkim efektem,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uporczywe pleśniawki w jamie ustnej lub zakażenia grzybicze na skórze,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2 lub więcej zakażeń tkanek głębokich, w tym posocznica,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nawracające, głębokie ropnie skóry i innych narządów,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PNO w wywiadzie rodzinnym,</w:t>
      </w:r>
    </w:p>
    <w:p>
      <w:pPr>
        <w:pStyle w:val="Normal"/>
        <w:numPr>
          <w:ilvl w:val="0"/>
          <w:numId w:val="1"/>
        </w:numPr>
        <w:spacing w:lineRule="auto" w:line="276" w:before="0" w:after="170"/>
        <w:ind w:left="720" w:hanging="397"/>
        <w:rPr>
          <w:rFonts w:ascii="Arial" w:hAnsi="Arial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konieczność stosowania antybiotyków dożylnych do leczenia zakażenia.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color w:val="000000"/>
        </w:rPr>
        <w:t>Objawy ostrzegawcze PNO o osób dorosłych: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powtarzające się zakażenia inwazyjne (dwa lub więcej zapaleń płuc, nawracająca posocznica, ropnie, zapalenie opon mózgowych),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/>
      </w:pPr>
      <w:r>
        <w:rPr>
          <w:rFonts w:ascii="Arial" w:hAnsi="Arial"/>
          <w:color w:val="000000"/>
        </w:rPr>
        <w:t>zakażenia oportunistyczne lub spowodowane przez nietypowe patogeny (np. pneumocystozowe zapalenie płuc),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słaba odpowiedź na wydłużoną lub wielokrotną antybiotykoterapię, zwłaszcza dożylną,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przewlekła biegunka z objawami lub bez objawów zapalenia jelita grubego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 xml:space="preserve">niskie stężenie IgG w surowicy, przewlekła limfopenia, neutropenia </w:t>
        <w:br/>
        <w:t>lub małopłytkowość,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przedłużające się lub nawracające, nietypowe lub oporne na leczenie zmiany w jamie ustnej (afty i owrzodzenia) lub wysypki skórne (rumień, teleangiektazje, nawracające wysypki krostkowe/guzkowate/rumieniowe),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przewlekłe powiększenie tkanek limfatycznych, uogólniona limfadenopatia, powiększenie śledziony o niejasnej przyczynie lub niewyczuwalne węzły chłonne i migdałki,</w:t>
      </w:r>
    </w:p>
    <w:p>
      <w:pPr>
        <w:pStyle w:val="Normal"/>
        <w:numPr>
          <w:ilvl w:val="0"/>
          <w:numId w:val="2"/>
        </w:numPr>
        <w:spacing w:lineRule="auto" w:line="276" w:before="0" w:after="170"/>
        <w:ind w:left="720" w:hanging="363"/>
        <w:rPr>
          <w:rFonts w:ascii="Arial" w:hAnsi="Arial"/>
        </w:rPr>
      </w:pPr>
      <w:r>
        <w:rPr>
          <w:rFonts w:ascii="Arial" w:hAnsi="Arial"/>
          <w:color w:val="000000"/>
        </w:rPr>
        <w:t>dodatni wywiad rodzinny w kierunku PNO, chorób autoimmunologicznych, białaczki lub chłoniaka.</w:t>
      </w:r>
    </w:p>
    <w:p>
      <w:pPr>
        <w:pStyle w:val="Normal"/>
        <w:spacing w:lineRule="auto" w:line="276" w:before="0" w:after="170"/>
        <w:rPr>
          <w:rFonts w:ascii="Arial" w:hAnsi="Arial"/>
        </w:rPr>
      </w:pPr>
      <w:r>
        <w:rPr>
          <w:rFonts w:ascii="Arial" w:hAnsi="Arial"/>
          <w:color w:val="000000"/>
        </w:rPr>
        <w:t xml:space="preserve">Po zaobserwowaniu </w:t>
      </w:r>
      <w:r>
        <w:rPr>
          <w:rFonts w:ascii="Arial" w:hAnsi="Arial"/>
          <w:b/>
          <w:bCs/>
          <w:color w:val="000000"/>
        </w:rPr>
        <w:t>co najmniej dwóch z powyższych objawów lekarz pierwszego kontaktu</w:t>
      </w:r>
      <w:r>
        <w:rPr>
          <w:rFonts w:ascii="Arial" w:hAnsi="Arial"/>
          <w:color w:val="000000"/>
        </w:rPr>
        <w:t xml:space="preserve"> (internista, lekarz medycyny rodzinnej, pediatra) powinien pilnie skierować osobę z podejrzeniem PNO do specjalisty immunologa w celu dalszej diagnostyki.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 xml:space="preserve">Ważne jest, abyśmy jako społeczeństwo mieli świadomość, że istnieją objawy ostrzegawcze mogące świadczyć o pierwotnych niedoborach odporności, i byli w stanie je wychwycić, co pozwoli nam omówić tę sytuację z lekarzem. W całym procesie diagnostyczno-terapeutycznym rola lekarza pierwszego kontaktu to klucz do sukcesu. Stąd nasza kampania edukacyjna </w:t>
      </w:r>
      <w:r>
        <w:rPr>
          <w:rFonts w:ascii="Arial" w:hAnsi="Arial"/>
          <w:color w:val="000000"/>
        </w:rPr>
        <w:t xml:space="preserve">– stwierdza </w:t>
      </w:r>
      <w:r>
        <w:rPr>
          <w:rFonts w:ascii="Arial" w:hAnsi="Arial"/>
          <w:b/>
          <w:bCs/>
          <w:color w:val="000000"/>
        </w:rPr>
        <w:t>lek. med. Monika Mach-Tomalska</w:t>
      </w:r>
      <w:r>
        <w:rPr>
          <w:rFonts w:ascii="Arial" w:hAnsi="Arial"/>
          <w:color w:val="000000"/>
        </w:rPr>
        <w:t xml:space="preserve"> z Oddziału Immunologii Uniwersyteckiego Szpitala Dziecięcego w Krakowie.</w:t>
      </w:r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Arial"/>
          <w:b/>
          <w:b/>
          <w:bCs/>
          <w:color w:val="1184A8"/>
          <w:spacing w:val="2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Wyprzedzić czas zanim nastąpi spustoszenie w organizmie</w:t>
      </w:r>
    </w:p>
    <w:p>
      <w:pPr>
        <w:pStyle w:val="Normal"/>
        <w:spacing w:lineRule="auto" w:line="276" w:before="0" w:after="170"/>
        <w:rPr>
          <w:rFonts w:ascii="Arial" w:hAnsi="Arial"/>
        </w:rPr>
      </w:pPr>
      <w:r>
        <w:rPr>
          <w:rFonts w:ascii="Arial" w:hAnsi="Arial"/>
          <w:color w:val="000000"/>
        </w:rPr>
        <w:t>W przypadku osób z pierwotnymi niedoborami odporności brak właściwego rozpoznania, a w konsekwencji również brak odpowiedniego leczenia mogą być przyczyną ciężkich, zagrażających życiu zakażeń lub nieodwracalnych zmian narządowych.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color w:val="000000"/>
        </w:rPr>
        <w:t xml:space="preserve">Bardzo istotne jest zdiagnozowanie choroby przed ewentualnym pogorszeniem się stanu klinicznego osoby z PNO oraz zastosowanie odpowiedniego leczenia, np. </w:t>
      </w:r>
      <w:r>
        <w:rPr>
          <w:rFonts w:cs="Arial" w:ascii="Arial" w:hAnsi="Arial"/>
          <w:color w:val="000000"/>
        </w:rPr>
        <w:t>zastępczej terapii immunoglobulinami. Chory powinien też zostać objęty</w:t>
      </w:r>
      <w:r>
        <w:rPr>
          <w:rFonts w:ascii="Arial" w:hAnsi="Arial"/>
          <w:color w:val="000000"/>
        </w:rPr>
        <w:t xml:space="preserve"> specjalistyczną opieką immunologa klinicznego, która pozwoli zapobiec wielu powikłaniom i umożliwi tryb życia zbliżony do normalnego.</w:t>
      </w:r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color w:val="000000"/>
        </w:rPr>
        <w:t xml:space="preserve">Czasu nie da się cofnąć, a zmiany w narządach, wynikające z braku </w:t>
      </w:r>
      <w:r>
        <w:rPr>
          <w:rFonts w:ascii="Arial" w:hAnsi="Arial"/>
          <w:color w:val="000000"/>
        </w:rPr>
        <w:t xml:space="preserve">odpowiedniego </w:t>
      </w:r>
      <w:r>
        <w:rPr>
          <w:rFonts w:ascii="Arial" w:hAnsi="Arial"/>
          <w:i/>
          <w:color w:val="000000"/>
        </w:rPr>
        <w:t>leczenia </w:t>
      </w:r>
      <w:r>
        <w:rPr>
          <w:rFonts w:ascii="Arial" w:hAnsi="Arial"/>
          <w:color w:val="000000"/>
        </w:rPr>
        <w:t>mogą być nieodwracalne i w związku z tym towarzyszyć </w:t>
      </w:r>
      <w:r>
        <w:rPr>
          <w:rFonts w:ascii="Arial" w:hAnsi="Arial"/>
          <w:i/>
          <w:color w:val="000000"/>
        </w:rPr>
        <w:t>osobie z pierwotnym niedoborem odporności do końca życia. PNO </w:t>
      </w:r>
      <w:r>
        <w:rPr>
          <w:rFonts w:ascii="Arial" w:hAnsi="Arial"/>
          <w:color w:val="000000"/>
        </w:rPr>
        <w:t>są grupą chorób, których zwykle </w:t>
      </w:r>
      <w:r>
        <w:rPr>
          <w:rFonts w:ascii="Arial" w:hAnsi="Arial"/>
          <w:i/>
          <w:color w:val="000000"/>
        </w:rPr>
        <w:t>nie widać gołym okiem, </w:t>
      </w:r>
      <w:r>
        <w:rPr>
          <w:rFonts w:ascii="Arial" w:hAnsi="Arial"/>
          <w:color w:val="000000"/>
        </w:rPr>
        <w:t>co nie powinno usypiać naszej czujności – nie ulegajmy przekonaniu, że to czego nie widzimy, nie stanowi zagrożenia</w:t>
      </w:r>
      <w:r>
        <w:rPr>
          <w:rFonts w:ascii="Arial" w:hAnsi="Arial"/>
          <w:i/>
          <w:color w:val="000000"/>
        </w:rPr>
        <w:t>. Osoby z PNO chorują częściej i/lub ciężej</w:t>
      </w:r>
      <w:r>
        <w:rPr>
          <w:rFonts w:ascii="Arial" w:hAnsi="Arial"/>
          <w:color w:val="000000"/>
        </w:rPr>
        <w:t> – stwierdza </w:t>
      </w:r>
      <w:r>
        <w:rPr>
          <w:rFonts w:ascii="Arial" w:hAnsi="Arial"/>
          <w:b/>
          <w:color w:val="000000"/>
        </w:rPr>
        <w:t>lek. med. Mach-Tomalska</w:t>
      </w:r>
      <w:r>
        <w:rPr>
          <w:rFonts w:ascii="Arial" w:hAnsi="Arial"/>
          <w:color w:val="000000"/>
        </w:rPr>
        <w:t>.</w:t>
      </w:r>
    </w:p>
    <w:p>
      <w:pPr>
        <w:pStyle w:val="Normal"/>
        <w:spacing w:lineRule="auto" w:line="276" w:before="0" w:after="17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Główną przyczyną zgonów osób z pierwotnymi niedoborami odporności wciąż są powikłania infekcyjne. Zakażenia i stany wynikające z PNO mogą prowadzić do uszkodzenia narządów, np. zaburzeń czynności płuc i czynności przewodu pokarmowego, niedosłuchu. Występują hospitalizacje, częste nieobecności w szkole czy pracy, częste stosowania antybiotyków.</w:t>
      </w:r>
    </w:p>
    <w:p>
      <w:pPr>
        <w:pStyle w:val="Normal"/>
        <w:spacing w:lineRule="auto" w:line="276" w:before="0" w:after="17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Arial"/>
          <w:b/>
          <w:b/>
          <w:bCs/>
          <w:color w:val="1184A8"/>
          <w:spacing w:val="2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Skuteczna terapia immunoglobulinami</w:t>
      </w:r>
    </w:p>
    <w:p>
      <w:pPr>
        <w:pStyle w:val="Normal"/>
        <w:spacing w:lineRule="auto" w:line="276" w:before="0" w:after="170"/>
        <w:rPr/>
      </w:pPr>
      <w:r>
        <w:rPr>
          <w:rFonts w:cs="Arial" w:ascii="Arial" w:hAnsi="Arial"/>
          <w:color w:val="000000"/>
        </w:rPr>
        <w:t>Podstawowym leczeniem stosowanym u części osób z pierwotnymi niedoborami odporności jest zastępcza terapia immunoglobulinami, która zapewnia ochronę przed infekcjami. U wybranych pacjentów łagodzi objawy autoimmunizacji. Leczenie immunoglobulinami pacjentów z pierwotnymi niedoborami odporności to terapia trwająca całe życie, a dzięki różnym opcjom terapii może być dopasowana do potrzeb i stylu życia pacjenta.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  <w:sz w:val="24"/>
          <w:szCs w:val="24"/>
        </w:rPr>
        <w:t xml:space="preserve">Pacjenci </w:t>
      </w:r>
      <w:r>
        <w:rPr>
          <w:rFonts w:cs="Arial" w:ascii="Arial" w:hAnsi="Arial"/>
          <w:i/>
          <w:iCs/>
          <w:color w:val="000000"/>
          <w:sz w:val="24"/>
          <w:szCs w:val="24"/>
        </w:rPr>
        <w:t xml:space="preserve">z PNO i ich zespół leczący często wybierają stosowanie leku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drogą podskórną. Takie leczenie po odpowiednim przeszkoleniu, w przeciwieństwie do leczenia dożylnego, może być samodzielnie podawane w domu, przez pacjenta lub jego opiekunów. Ogranicza to konieczność wizyt pacjenta w szpitalu, narażenia na kontakt ze szpitalnymi patogenami. Jest oszczędnością czasu dla pacjentów, ich opiekunów oraz zespołu leczącego </w:t>
      </w:r>
      <w:r>
        <w:rPr>
          <w:rFonts w:ascii="Arial" w:hAnsi="Arial"/>
          <w:color w:val="000000"/>
          <w:sz w:val="24"/>
          <w:szCs w:val="24"/>
        </w:rPr>
        <w:t xml:space="preserve">– wyjaśnia </w:t>
      </w:r>
      <w:r>
        <w:rPr>
          <w:rFonts w:ascii="Arial" w:hAnsi="Arial"/>
          <w:b/>
          <w:bCs/>
          <w:color w:val="000000"/>
          <w:sz w:val="24"/>
          <w:szCs w:val="24"/>
        </w:rPr>
        <w:t>dr n. med. Ewa Więsik-Szewczyk</w:t>
      </w:r>
      <w:r>
        <w:rPr>
          <w:rFonts w:ascii="Arial" w:hAnsi="Arial"/>
          <w:color w:val="000000"/>
          <w:sz w:val="24"/>
          <w:szCs w:val="24"/>
        </w:rPr>
        <w:t xml:space="preserve"> z Kliniki Chorób Wewnętrznych, Pneumonologii, Alergologii i Immunologii Klinicznej Wojskowego Instytutu Medycznego w Warszawie.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color w:val="000000"/>
        </w:rPr>
        <w:t xml:space="preserve">Według raportu „Badanie jakości życia oraz preferencji leczenia pacjentów z pierwotnymi niedoborami odporności w Polsce” z metody podskórnej korzysta dziś więcej osób niż z metody dożylnej. </w:t>
      </w:r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>Jak mówi Kaja, ogromnym pozytywem jest to, że jesteśmy niezależni. Możemy jechać na wakacje, na ferie, nie martwić się, że co miesiąc mamy wizytę w szpitalu, tak jak w przypadku podań dożylnych. Zabieramy ze sobą pompę do podawania leku, preparat, strzykawki, igły i możemy podać lek niemal w każdych warunkach. Preparat, który stosujemy, nie wymaga przechowywania w lodówce, co również jest jego atutem</w:t>
      </w:r>
      <w:r>
        <w:rPr>
          <w:rFonts w:ascii="Arial" w:hAnsi="Arial"/>
          <w:color w:val="000000"/>
        </w:rPr>
        <w:t xml:space="preserve"> – mówi </w:t>
      </w:r>
      <w:r>
        <w:rPr>
          <w:rFonts w:ascii="Arial" w:hAnsi="Arial"/>
          <w:b/>
          <w:bCs/>
          <w:color w:val="000000"/>
        </w:rPr>
        <w:t>Dorota Konat, mama Kai</w:t>
      </w:r>
      <w:r>
        <w:rPr>
          <w:rFonts w:cs="Calibri" w:ascii="Arial" w:hAnsi="Arial" w:cstheme="minorHAnsi"/>
          <w:color w:val="000000"/>
        </w:rPr>
        <w:t>.</w:t>
      </w:r>
    </w:p>
    <w:p>
      <w:pPr>
        <w:pStyle w:val="Normal"/>
        <w:spacing w:lineRule="auto" w:line="276" w:before="0" w:after="170"/>
        <w:rPr>
          <w:rFonts w:ascii="Arial" w:hAnsi="Arial" w:cs="Calibri" w:cstheme="minorHAnsi"/>
          <w:color w:val="000000"/>
        </w:rPr>
      </w:pPr>
      <w:r>
        <w:rPr>
          <w:rFonts w:cs="Calibri" w:cstheme="minorHAnsi"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Arial"/>
          <w:color w:val="1184A8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Osocze – skarb w ludzkiej krwi</w:t>
      </w:r>
    </w:p>
    <w:p>
      <w:pPr>
        <w:pStyle w:val="Normal"/>
        <w:spacing w:lineRule="auto" w:line="276" w:before="0" w:after="170"/>
        <w:rPr/>
      </w:pPr>
      <w:r>
        <w:rPr>
          <w:rFonts w:cs="Calibri" w:ascii="Arial" w:hAnsi="Arial" w:cstheme="minorHAnsi"/>
          <w:b/>
          <w:bCs/>
          <w:color w:val="000000"/>
        </w:rPr>
        <w:t>Produkty do terapii zastępczej immunoglobulinami pozyskuje się z</w:t>
      </w:r>
      <w:r>
        <w:rPr>
          <w:rFonts w:cs="Calibri" w:ascii="Arial" w:hAnsi="Arial" w:cstheme="minorHAnsi"/>
          <w:color w:val="000000"/>
        </w:rPr>
        <w:t xml:space="preserve"> </w:t>
      </w:r>
      <w:r>
        <w:rPr>
          <w:rFonts w:cs="Calibri" w:ascii="Arial" w:hAnsi="Arial" w:cstheme="minorHAnsi"/>
          <w:b/>
          <w:bCs/>
          <w:color w:val="000000"/>
        </w:rPr>
        <w:t>osocza krwi ofiarowanego przez zdrową osobę i dla wielu chorych są one bezcenne.</w:t>
      </w:r>
      <w:r>
        <w:rPr>
          <w:rFonts w:cs="Calibri" w:ascii="Arial" w:hAnsi="Arial" w:cstheme="minorHAnsi"/>
          <w:color w:val="000000"/>
        </w:rPr>
        <w:t xml:space="preserve"> W przypadku osób, u których stwierdzono niedobór lub nieprawidłowości białek osocza, liczy się każdy pozyskany mililitr. Preparaty osoczopochodne charakteryzuje bowiem skomplikowany i złożony proces wytwarzania. Jest on również bardziej kosztowny niż produkcja tradycyjnych leków. Aby móc otrzymać ilość preparatu immunoglobulin wystarczającą do leczenia jednego pacjenta z chorobami układu odpornościowego w ciągu roku, trzeba pozyskać osocze z ok. 130 donacji. </w:t>
      </w:r>
    </w:p>
    <w:p>
      <w:pPr>
        <w:pStyle w:val="Normal"/>
        <w:spacing w:lineRule="auto" w:line="276" w:before="0" w:after="170"/>
        <w:rPr/>
      </w:pPr>
      <w:r>
        <w:rPr>
          <w:rFonts w:cs="Calibri" w:ascii="Arial" w:hAnsi="Arial" w:cstheme="minorHAnsi"/>
          <w:color w:val="000000"/>
        </w:rPr>
        <w:t xml:space="preserve">W wyniku pandemii COVID-19 wystąpił kryzys światowego dawstwa osocza. Dlatego lekarze wpierający kampanię „Odpornością można się dzielić. Jak mogę pomoc?” </w:t>
      </w:r>
      <w:r>
        <w:rPr>
          <w:rFonts w:cs="Calibri" w:ascii="Arial" w:hAnsi="Arial" w:cstheme="minorHAnsi"/>
          <w:b/>
          <w:bCs/>
          <w:color w:val="000000"/>
        </w:rPr>
        <w:t>zachęcają do oddawania</w:t>
      </w:r>
      <w:r>
        <w:rPr>
          <w:rFonts w:cs="Calibri" w:ascii="Arial" w:hAnsi="Arial" w:cstheme="minorHAnsi"/>
          <w:color w:val="000000"/>
        </w:rPr>
        <w:t xml:space="preserve"> tego bezcennego daru, którym wielu z nas może </w:t>
      </w:r>
      <w:r>
        <w:rPr>
          <w:rFonts w:cs="Calibri" w:ascii="Arial" w:hAnsi="Arial" w:cstheme="minorHAnsi"/>
        </w:rPr>
        <w:t>podzielić się z potrzebującymi.</w:t>
      </w:r>
    </w:p>
    <w:p>
      <w:pPr>
        <w:pStyle w:val="Normal"/>
        <w:spacing w:lineRule="auto" w:line="276" w:before="0" w:after="170"/>
        <w:rPr/>
      </w:pPr>
      <w:r>
        <w:rPr>
          <w:rFonts w:cs="Calibri" w:ascii="Arial" w:hAnsi="Arial" w:cstheme="minorHAnsi"/>
          <w:i/>
          <w:iCs/>
          <w:color w:val="000000"/>
        </w:rPr>
        <w:t xml:space="preserve">Zwiększenie ilości osocza pozyskiwanego w Europie pozwoliłoby na zapewnienie ciągłości leczenia osobom z chorobami rzadkimi. 300 000 pacjentów cierpiących na takie choroby na naszym kontynencie jest uzależnionych od terapii opartych na produktach osoczopochodnych. Milion osób mógłby skorzystać z terapii osoczopochodnych przy lepszym diagnozowaniu i dostępie do leczenia </w:t>
      </w:r>
      <w:r>
        <w:rPr>
          <w:rFonts w:cs="Calibri" w:ascii="Arial" w:hAnsi="Arial" w:cstheme="minorHAnsi"/>
          <w:color w:val="000000"/>
        </w:rPr>
        <w:t xml:space="preserve">– stwierdza </w:t>
      </w:r>
      <w:r>
        <w:rPr>
          <w:rFonts w:cs="Calibri" w:ascii="Arial" w:hAnsi="Arial" w:cstheme="minorHAnsi"/>
          <w:b/>
          <w:bCs/>
          <w:color w:val="000000"/>
        </w:rPr>
        <w:t>profesor Kołtan.</w:t>
      </w:r>
    </w:p>
    <w:p>
      <w:pPr>
        <w:pStyle w:val="Normal"/>
        <w:spacing w:lineRule="auto" w:line="276" w:before="0" w:after="170"/>
        <w:rPr/>
      </w:pPr>
      <w:r>
        <w:rPr>
          <w:rFonts w:cs="Calibri" w:ascii="Arial" w:hAnsi="Arial" w:cstheme="minorHAnsi"/>
        </w:rPr>
        <w:t>Należy również zaznac</w:t>
      </w:r>
      <w:r>
        <w:rPr>
          <w:rFonts w:cs="Calibri" w:ascii="Arial" w:hAnsi="Arial" w:cstheme="minorHAnsi"/>
          <w:color w:val="000000"/>
        </w:rPr>
        <w:t xml:space="preserve">zyć, że oddawanie osocza i oddawanie krwi to dwa odrębne zagadnienia. W przypadku osocza – w przeciwieństwie do krwi pełnej – od dawców pobiera się tylko płynną część krwi. Pozostałe jej składniki wracają do organizmu - całość procesu nazywa się plazmaferezą. Dlatego dawcą osocza można być znacznie częściej niż dawcą krwi. </w:t>
      </w:r>
    </w:p>
    <w:p>
      <w:pPr>
        <w:pStyle w:val="Normal"/>
        <w:spacing w:lineRule="auto" w:line="276" w:before="0" w:after="170"/>
        <w:rPr>
          <w:rFonts w:ascii="Arial" w:hAnsi="Arial" w:cs="Calibri" w:cstheme="minorHAnsi"/>
          <w:color w:val="000000"/>
        </w:rPr>
      </w:pPr>
      <w:r>
        <w:rPr>
          <w:rFonts w:cs="Calibri" w:cstheme="minorHAnsi" w:ascii="Arial" w:hAnsi="Arial"/>
          <w:color w:val="000000"/>
        </w:rPr>
      </w:r>
    </w:p>
    <w:p>
      <w:pPr>
        <w:pStyle w:val="Normal"/>
        <w:spacing w:lineRule="auto" w:line="276" w:before="0" w:after="170"/>
        <w:rPr>
          <w:rFonts w:ascii="Arial" w:hAnsi="Arial" w:cs="Calibri" w:cstheme="minorHAnsi"/>
          <w:color w:val="000000"/>
        </w:rPr>
      </w:pPr>
      <w:r>
        <w:rPr>
          <w:rFonts w:cs="Calibri" w:cstheme="minorHAnsi" w:ascii="Arial" w:hAnsi="Arial"/>
          <w:color w:val="000000"/>
        </w:rPr>
      </w:r>
    </w:p>
    <w:p>
      <w:pPr>
        <w:pStyle w:val="Normal"/>
        <w:spacing w:lineRule="auto" w:line="276" w:before="0" w:after="170"/>
        <w:rPr/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Indywidualizacja monitorowania terapii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color w:val="000000"/>
        </w:rPr>
        <w:t xml:space="preserve">Coraz większa rola telemedycyny sprawi, że również osoby z pierwotnymi niedoborami odporności będą korzystać z tej formy kontaktu. Początkiem już dziś są telewizyty i dostawy domowe leku, które po raz pierwszy dla pacjentów z PNO leczonych podskórnie, zostały wprowadzone podczas pandemii COVID-19. Dzięki temu niektórzy pacjenci zgłaszają się na wizyty co 6 miesięcy. </w:t>
      </w:r>
    </w:p>
    <w:p>
      <w:pPr>
        <w:pStyle w:val="Normal"/>
        <w:spacing w:lineRule="auto" w:line="276" w:before="0" w:after="170"/>
        <w:rPr>
          <w:rFonts w:ascii="Arial" w:hAnsi="Arial" w:cs=""/>
          <w:i/>
          <w:i/>
          <w:color w:val="000000"/>
          <w:sz w:val="24"/>
          <w:szCs w:val="24"/>
        </w:rPr>
      </w:pPr>
      <w:r>
        <w:rPr>
          <w:rFonts w:eastAsia="Calibri" w:cs="" w:ascii="Arial" w:hAnsi="Arial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Ale takie leczenie domowe wymaga od pacjenta dyscypliny i systematyczności. Monitorowanie leczenia i stanu zdrowia przez pacjenta, za pomocą nowoczesnych narzędzi elektronicznych czy aplikacji, może przełożyć się na skuteczność leczenia i optymalne wykorzystanie tak cennych preparatów immunoglobulin. Takie rozwiązania mają za zadanie na każdym etapie wspierać proces leczenia oraz zaangażowane w nie osoby </w:t>
      </w:r>
      <w:r>
        <w:rPr>
          <w:rFonts w:eastAsia="Calibri" w:cs="" w:ascii="Arial" w:hAnsi="Arial"/>
          <w:i w:val="false"/>
          <w:iCs w:val="false"/>
          <w:color w:val="000000"/>
          <w:kern w:val="0"/>
          <w:sz w:val="24"/>
          <w:szCs w:val="24"/>
          <w:lang w:val="pl-PL" w:eastAsia="en-US" w:bidi="ar-SA"/>
        </w:rPr>
        <w:t xml:space="preserve">– mówi </w:t>
      </w:r>
      <w:r>
        <w:rPr>
          <w:rFonts w:eastAsia="Calibri" w:cs="" w:ascii="Arial" w:hAnsi="Arial"/>
          <w:b/>
          <w:bCs/>
          <w:i w:val="false"/>
          <w:iCs w:val="false"/>
          <w:color w:val="000000"/>
          <w:kern w:val="0"/>
          <w:sz w:val="24"/>
          <w:szCs w:val="24"/>
          <w:lang w:val="pl-PL" w:eastAsia="en-US" w:bidi="ar-SA"/>
        </w:rPr>
        <w:t>doktor Więsik-Szewczyk</w:t>
      </w:r>
      <w:r>
        <w:rPr>
          <w:rFonts w:eastAsia="Calibri" w:cs="" w:ascii="Arial" w:hAnsi="Arial"/>
          <w:i w:val="false"/>
          <w:iCs w:val="false"/>
          <w:color w:val="000000"/>
          <w:kern w:val="0"/>
          <w:sz w:val="24"/>
          <w:szCs w:val="24"/>
          <w:lang w:val="pl-PL" w:eastAsia="en-US" w:bidi="ar-SA"/>
        </w:rPr>
        <w:t>.</w:t>
      </w:r>
    </w:p>
    <w:p>
      <w:pPr>
        <w:pStyle w:val="Normal"/>
        <w:spacing w:lineRule="auto" w:line="276" w:before="0" w:after="170"/>
        <w:rPr>
          <w:rFonts w:ascii="Arial" w:hAnsi="Arial" w:cs="Arial"/>
          <w:b w:val="false"/>
          <w:b w:val="false"/>
          <w:bCs w:val="false"/>
          <w:color w:val="1184A8"/>
          <w:spacing w:val="2"/>
          <w:sz w:val="26"/>
          <w:szCs w:val="26"/>
        </w:rPr>
      </w:pPr>
      <w:r>
        <w:rPr>
          <w:rFonts w:cs="Arial" w:ascii="Verdana" w:hAnsi="Verdana"/>
          <w:b w:val="false"/>
          <w:bCs w:val="false"/>
          <w:color w:val="000000"/>
          <w:spacing w:val="2"/>
          <w:sz w:val="22"/>
          <w:szCs w:val="22"/>
        </w:rPr>
        <w:t>Należy pamiętać, że osoba ze zdiagnozowanym pierwotnym niedoborem odporności będzie leczona do końca życia. Droga każdego pacjenta z PNO jest niepowtarzalna, dlatego terapia, jej prowadzenie i monitorowanie również powinna być dostosowana do indywidualnych potrzeb i stylu funkcjonowania. Z biegiem lat, wraz ze zmianami zachodzącymi w życiu osoby z PNO, będzie się też zmieniał rodzaj wsparcia, które powinna otrzymywać.</w:t>
      </w:r>
    </w:p>
    <w:p>
      <w:pPr>
        <w:pStyle w:val="Normal"/>
        <w:spacing w:lineRule="auto" w:line="276" w:before="0" w:after="17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76" w:before="0" w:after="170"/>
        <w:rPr>
          <w:rFonts w:ascii="Arial" w:hAnsi="Arial" w:cs="Arial"/>
          <w:b/>
          <w:b/>
          <w:bCs/>
          <w:color w:val="1184A8"/>
          <w:spacing w:val="2"/>
          <w:sz w:val="26"/>
          <w:szCs w:val="26"/>
        </w:rPr>
      </w:pPr>
      <w:r>
        <w:rPr>
          <w:rFonts w:cs="Arial" w:ascii="Arial" w:hAnsi="Arial"/>
          <w:b/>
          <w:bCs/>
          <w:color w:val="1184A8"/>
          <w:spacing w:val="2"/>
          <w:sz w:val="26"/>
          <w:szCs w:val="26"/>
        </w:rPr>
        <w:t>O kampanii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color w:val="000000"/>
        </w:rPr>
        <w:t xml:space="preserve">Inicjatorem kampanii edukacyjnej pt. „Odpornością można się dzielić. Jak mogę pomóc?” jest Stowarzyszenie na rzecz osób z niedoborami odporności „Immunoprotect”. Rozpoczęcie działań zaplanowano na czas Światowego Tygodnia Pierwotnych Niedoborów Odporności, przypadającego w tym roku na 22–29 kwietnia. Pierwszy etap działań potrwa do 31 maja br. 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>Na potrzeby kampanii przygotowano materiały edukacyjne (film, infografiki) oraz będzie realizowana komunikacja w mediach o zasięgu ogólnopolskim. Dodatkowo na portalu www.madraopieka.pl, stanowiącym kompendium wiedzy o pierwotnych niedoborach odporności, zostanie przygotowana specjalna strefa informacyjna o aktywnościach kampanii. Na dalszych etapach kampanii planowane są m.in. warsztaty edukacyjne na temat pierwotnych niedoborów odporności, organizowane w szkołach na terenie całego kraju. Chcemy w jak największym stopniu dotrzeć z wiedzą z zakresu PNO do polskiego społeczeństwa, a w szczególności do rodziców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i/>
          <w:iCs/>
          <w:color w:val="000000"/>
        </w:rPr>
        <w:t xml:space="preserve">małych dzieci, dlatego nasza najmłodsza ekspertka i jednocześnie pacjentka jest ambasadorką kampanii </w:t>
      </w:r>
      <w:r>
        <w:rPr>
          <w:rFonts w:ascii="Arial" w:hAnsi="Arial"/>
          <w:color w:val="000000"/>
        </w:rPr>
        <w:t xml:space="preserve">– wyjaśnia </w:t>
      </w:r>
      <w:r>
        <w:rPr>
          <w:rFonts w:ascii="Arial" w:hAnsi="Arial"/>
          <w:b/>
          <w:bCs/>
          <w:color w:val="000000"/>
        </w:rPr>
        <w:t>Paweł Górniak</w:t>
      </w:r>
      <w:r>
        <w:rPr>
          <w:rFonts w:ascii="Arial" w:hAnsi="Arial"/>
          <w:color w:val="000000"/>
        </w:rPr>
        <w:t>, prezes zarządu Stowarzyszenia na rzecz osób z niedoborami odporności „Immunoprotect”.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color w:val="000000"/>
        </w:rPr>
        <w:t>Aktywności kampanii są wspierane przez ekspertów medycznych w dziedzinie immunologii klinicznej, medycyny rodzinnej, pediatrii oraz organizacje pacjenckie, a przede wszystkim przez ambasadorów, tzn. osoby z pierwotnymi niedoborami odporności, jak również ich bliskich, którzy poprzez własne doświadczenia chcą wspierać i motywować</w:t>
      </w:r>
      <w:r>
        <w:rPr>
          <w:rFonts w:ascii="Arial" w:hAnsi="Arial"/>
        </w:rPr>
        <w:t xml:space="preserve"> innych do działania.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Eksperci kampanii: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dr hab. Sylwia Kołtan, prof. UMK</w:t>
      </w:r>
      <w:r>
        <w:rPr>
          <w:rFonts w:ascii="Arial" w:hAnsi="Arial"/>
          <w:color w:val="000000"/>
        </w:rPr>
        <w:t xml:space="preserve"> – konsultant krajowy w dziedzinie immunologii klinicznej, Katedra Pediatrii, Hematologii i Onkologii Szpitala Uniwersyteckiego nr 1 im. dr. A. Jurasza w Bydgoszczy,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dr n. med. Ewa Więsik-Szewczyk </w:t>
      </w:r>
      <w:r>
        <w:rPr>
          <w:rFonts w:ascii="Arial" w:hAnsi="Arial"/>
          <w:color w:val="000000"/>
        </w:rPr>
        <w:t xml:space="preserve">– Klinika Chorób Wewnętrznych, Pneumonologii, Alergologii i Immunologii Klinicznej Wojskowego Instytutu Medycznego w Warszawie,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/>
      </w:pPr>
      <w:r>
        <w:rPr>
          <w:rFonts w:ascii="Arial" w:hAnsi="Arial"/>
          <w:b/>
          <w:bCs/>
          <w:color w:val="000000"/>
        </w:rPr>
        <w:t>lek. med. Monika Mach-Tomalska</w:t>
      </w:r>
      <w:r>
        <w:rPr>
          <w:rFonts w:ascii="Arial" w:hAnsi="Arial"/>
          <w:color w:val="000000"/>
        </w:rPr>
        <w:t xml:space="preserve"> – Oddział Immunologii Uniwersyteckiego Szpitala Dziecięcego w Krakowie.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0" w:top="2341" w:footer="0" w:bottom="255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170"/>
        <w:rPr>
          <w:rFonts w:ascii="Arial" w:hAnsi="Arial"/>
        </w:rPr>
      </w:pPr>
      <w:r>
        <w:rPr>
          <w:rFonts w:ascii="Arial" w:hAnsi="Arial"/>
        </w:rPr>
        <w:t>Partnerami kampanii są: Instytut Praw Pacjenta i Edukacji Zdrowotnej, Krajowe Forum na rzecz terapii chorób rzadkich – ORPHAN, Fundacja Wymarzona Odporność. Mecenasem kampanii jest firma Takeda.</w:t>
      </w:r>
    </w:p>
    <w:p>
      <w:pPr>
        <w:pStyle w:val="Normal"/>
        <w:spacing w:before="0" w:after="57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before="0" w:after="57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before="0" w:after="57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Kontakt dla mediów:</w:t>
      </w:r>
    </w:p>
    <w:p>
      <w:pPr>
        <w:pStyle w:val="Normal"/>
        <w:spacing w:before="0" w:after="57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Renata Obuchowska</w:t>
      </w:r>
    </w:p>
    <w:p>
      <w:pPr>
        <w:pStyle w:val="Normal"/>
        <w:spacing w:before="0" w:after="57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PR, Sto Lampartów</w:t>
      </w:r>
    </w:p>
    <w:p>
      <w:pPr>
        <w:pStyle w:val="Normal"/>
        <w:spacing w:before="0" w:after="57"/>
        <w:jc w:val="center"/>
        <w:rPr>
          <w:rFonts w:ascii="Arial" w:hAnsi="Arial"/>
          <w:lang w:val="en-US"/>
        </w:rPr>
      </w:pPr>
      <w:r>
        <w:rPr>
          <w:rFonts w:ascii="Arial" w:hAnsi="Arial"/>
          <w:color w:val="000000"/>
          <w:lang w:val="en-US"/>
        </w:rPr>
        <w:t>tel.: +48 603 423 666</w:t>
      </w:r>
    </w:p>
    <w:p>
      <w:pPr>
        <w:pStyle w:val="Normal"/>
        <w:spacing w:before="0" w:after="57"/>
        <w:jc w:val="center"/>
        <w:rPr/>
      </w:pPr>
      <w:r>
        <w:rPr>
          <w:rFonts w:ascii="Arial" w:hAnsi="Arial"/>
          <w:color w:val="000000"/>
          <w:lang w:val="en-US"/>
        </w:rPr>
        <w:t xml:space="preserve">email: </w:t>
      </w:r>
      <w:hyperlink r:id="rId4">
        <w:r>
          <w:rPr>
            <w:rStyle w:val="Czeinternetowe"/>
            <w:rFonts w:ascii="Arial" w:hAnsi="Arial"/>
            <w:color w:val="000000"/>
            <w:lang w:val="en-US"/>
          </w:rPr>
          <w:t>renata.obuchowska@stolampartow.pl</w:t>
        </w:r>
      </w:hyperlink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Normal"/>
        <w:spacing w:before="0" w:after="57"/>
        <w:rPr/>
      </w:pPr>
      <w:r>
        <w:rPr>
          <w:rFonts w:ascii="Arial" w:hAnsi="Arial"/>
          <w:color w:val="000000"/>
          <w:sz w:val="22"/>
          <w:szCs w:val="22"/>
        </w:rPr>
        <w:t xml:space="preserve">Referencje: 1. Pierwotne Niedobory Odporności. Stan obecny oraz potrzeby diagnostyki i terapii w Polsce, Raport, Warszawa 2017: </w:t>
      </w:r>
      <w:hyperlink r:id="rId5">
        <w:r>
          <w:rPr>
            <w:rStyle w:val="ListLabel87"/>
            <w:rFonts w:ascii="Arial" w:hAnsi="Arial"/>
            <w:sz w:val="22"/>
            <w:szCs w:val="22"/>
          </w:rPr>
          <w:t>https://www.pexps.pl/files/upload/files/201710-PEXPS-PNO-raport.pdf</w:t>
        </w:r>
      </w:hyperlink>
      <w:r>
        <w:rPr>
          <w:rFonts w:ascii="Arial" w:hAnsi="Arial"/>
          <w:color w:val="000000"/>
          <w:sz w:val="22"/>
          <w:szCs w:val="22"/>
        </w:rPr>
        <w:t xml:space="preserve"> dostęp: 04/2022.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2. Tangye SG i in., J Clin Immunol. 2020 Jan;40(1), s. 24-64. 3.  Kumar A., Teuber S.S., Gershwin M.E, Clin. Dev. </w:t>
      </w:r>
      <w:r>
        <w:rPr>
          <w:rFonts w:ascii="Arial" w:hAnsi="Arial"/>
          <w:color w:val="000000"/>
          <w:sz w:val="22"/>
          <w:szCs w:val="22"/>
        </w:rPr>
        <w:t>Immunol. 2006, 13, s. 223–259. 4. Bernatowicz E. et al., Standardy Medyczne/Pediatria, 2021, t. 18, 403–413.</w:t>
      </w:r>
    </w:p>
    <w:p>
      <w:pPr>
        <w:pStyle w:val="Normal"/>
        <w:spacing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spacing w:before="0" w:after="57"/>
        <w:rPr/>
      </w:pPr>
      <w:r>
        <w:rPr>
          <w:rFonts w:ascii="Arial" w:hAnsi="Arial"/>
          <w:color w:val="000000"/>
          <w:sz w:val="22"/>
          <w:szCs w:val="22"/>
        </w:rPr>
        <w:t>Materiał powstał w ramach kampanii „Odpornością można się dzielić. Jak mogę pomóc?”. Skierowany jest do dziennikarzy i szerokiej publiczności, przygotowany i sponsorowany przez Takeda, C-ANPROM/PL/IG/0134, 04/2022.</w:t>
      </w:r>
    </w:p>
    <w:p>
      <w:pPr>
        <w:pStyle w:val="Normal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Wszystkie osoby cytowane w materiale wyraziły zgodę na wykorzystanie ich wizerunku i danych osobowych do celów niniejszego materiału oraz w materiałach kampanii, w tym podczas odbywającej się konferencji prasowej w dniu 20.04.2022.</w:t>
      </w:r>
    </w:p>
    <w:p>
      <w:pPr>
        <w:pStyle w:val="Normal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tLeast" w:line="300" w:before="0" w:after="57"/>
        <w:rPr>
          <w:rFonts w:ascii="Arial" w:hAnsi="Arial"/>
        </w:rPr>
      </w:pPr>
      <w:r>
        <w:rPr>
          <w:rFonts w:cs="Arial" w:ascii="Arial" w:hAnsi="Arial"/>
          <w:color w:val="000000"/>
          <w:sz w:val="22"/>
          <w:szCs w:val="22"/>
          <w:lang w:val="en-US"/>
        </w:rPr>
        <w:t xml:space="preserve">Copyright © 2022 Takeda Pharmaceutical Company Limited. </w:t>
      </w:r>
      <w:r>
        <w:rPr>
          <w:rFonts w:cs="Arial" w:ascii="Arial" w:hAnsi="Arial"/>
          <w:color w:val="000000"/>
          <w:sz w:val="22"/>
          <w:szCs w:val="22"/>
        </w:rPr>
        <w:t xml:space="preserve">Wszystkie prawa zastrzeżone. Wszystkie znaki handlowe są własnościami ich prawowitych właścicieli. Takeda Pharma Sp. z o.o., ul. Prosta 68, 00-838 Warszawa, Polska, T: +48 22 608 13 00 lub 01, F: +48 22 608 13 </w:t>
      </w:r>
      <w:r>
        <w:rPr>
          <w:rFonts w:cs="Arial" w:ascii="Arial" w:hAnsi="Arial"/>
          <w:color w:val="000000" w:themeColor="text1"/>
          <w:sz w:val="22"/>
          <w:szCs w:val="22"/>
        </w:rPr>
        <w:t>03,www.takeda.com/pl-pl/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0" w:top="2341" w:footer="0" w:bottom="25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tserra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417" w:hanging="0"/>
      <w:rPr/>
    </w:pPr>
    <w:r>
      <w:rPr/>
      <w:drawing>
        <wp:inline distT="0" distB="0" distL="0" distR="0">
          <wp:extent cx="8682355" cy="1415415"/>
          <wp:effectExtent l="0" t="0" r="0" b="0"/>
          <wp:docPr id="2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141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417" w:hanging="0"/>
      <w:rPr/>
    </w:pPr>
    <w:r>
      <w:rPr/>
      <w:drawing>
        <wp:inline distT="0" distB="0" distL="0" distR="0">
          <wp:extent cx="7591425" cy="2462530"/>
          <wp:effectExtent l="0" t="0" r="0" b="0"/>
          <wp:docPr id="4" name="Obraz2" descr="Obraz zawierający tekst, wizytówka, zrzut ekranu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Obraz zawierający tekst, wizytówka, zrzut ekranu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46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17" w:hanging="0"/>
      <w:rPr/>
    </w:pPr>
    <w:r>
      <w:rPr/>
      <w:drawing>
        <wp:inline distT="0" distB="0" distL="0" distR="0">
          <wp:extent cx="7559040" cy="1155700"/>
          <wp:effectExtent l="0" t="0" r="0" b="0"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17" w:hanging="0"/>
      <w:rPr/>
    </w:pPr>
    <w:r>
      <w:rPr/>
      <w:drawing>
        <wp:inline distT="0" distB="0" distL="0" distR="0">
          <wp:extent cx="7559040" cy="1155700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45pt;height:46.9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ind w:left="227" w:hanging="227"/>
      </w:pPr>
      <w:rPr>
        <w:rFonts w:ascii="Symbol" w:hAnsi="Symbol" w:cs="Symbol" w:hint="default"/>
        <w:spacing w:val="-20"/>
        <w:u w:val="none" w:color="FFFFFF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e1f0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b6b5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b6b5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e1f0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u w:val="none" w:color="FFFFFF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spacing w:val="-20"/>
      <w:u w:val="none" w:color="FFFFFF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spacing w:val="-20"/>
      <w:u w:val="none" w:color="FFFFFF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spacing w:val="-20"/>
      <w:u w:val="none" w:color="FFFFFF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spacing w:val="-20"/>
      <w:u w:val="none" w:color="FFFFFF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spacing w:val="-20"/>
      <w:u w:val="none" w:color="FFFFFF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spacing w:val="-20"/>
      <w:u w:val="none" w:color="FFFFFF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color w:val="auto"/>
      <w:spacing w:val="-20"/>
      <w:u w:val="none" w:color="FFFFFF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color w:val="auto"/>
      <w:spacing w:val="-20"/>
      <w:u w:val="none" w:color="FFFFFF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color w:val="auto"/>
      <w:spacing w:val="-20"/>
      <w:u w:val="none" w:color="FFFFFF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color w:val="auto"/>
      <w:spacing w:val="-20"/>
      <w:u w:val="none" w:color="FFFFFF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color w:val="auto"/>
      <w:spacing w:val="-20"/>
      <w:u w:val="none" w:color="FFFFFF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color w:val="auto"/>
      <w:spacing w:val="-20"/>
      <w:u w:val="none" w:color="FFFFFF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color w:val="auto"/>
      <w:spacing w:val="-20"/>
      <w:u w:val="none" w:color="FFFFFF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Czeinternetowe" w:customStyle="1">
    <w:name w:val="Łącze internetowe"/>
    <w:basedOn w:val="DefaultParagraphFont"/>
    <w:rPr>
      <w:color w:val="0563C1" w:themeColor="hyperlink"/>
      <w:u w:val="single"/>
    </w:rPr>
  </w:style>
  <w:style w:type="character" w:styleId="ListLabel186" w:customStyle="1">
    <w:name w:val="ListLabel 186"/>
    <w:qFormat/>
    <w:rPr>
      <w:rFonts w:ascii="Verdana" w:hAnsi="Verdana"/>
      <w:color w:val="000000"/>
      <w:sz w:val="22"/>
      <w:szCs w:val="22"/>
      <w:lang w:val="en-US"/>
    </w:rPr>
  </w:style>
  <w:style w:type="character" w:styleId="ListLabel87" w:customStyle="1">
    <w:name w:val="ListLabel 87"/>
    <w:qFormat/>
    <w:rPr>
      <w:rFonts w:ascii="Verdana" w:hAnsi="Verdana"/>
      <w:color w:val="000000"/>
      <w:sz w:val="20"/>
      <w:szCs w:val="20"/>
    </w:rPr>
  </w:style>
  <w:style w:type="character" w:styleId="ListLabel187" w:customStyle="1">
    <w:name w:val="ListLabel 187"/>
    <w:qFormat/>
    <w:rPr/>
  </w:style>
  <w:style w:type="character" w:styleId="ListLabel188">
    <w:name w:val="ListLabel 188"/>
    <w:qFormat/>
    <w:rPr>
      <w:rFonts w:ascii="Arial" w:hAnsi="Arial"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Arial" w:hAnsi="Arial"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Arial" w:hAnsi="Arial"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  <w:b/>
      <w:color w:val="auto"/>
      <w:spacing w:val="-20"/>
      <w:u w:val="none" w:color="FFFFFF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Arial" w:hAnsi="Arial"/>
      <w:color w:val="000000"/>
      <w:lang w:val="en-US"/>
    </w:rPr>
  </w:style>
  <w:style w:type="character" w:styleId="ListLabel225">
    <w:name w:val="ListLabel 225"/>
    <w:qFormat/>
    <w:rPr>
      <w:rFonts w:ascii="Arial" w:hAnsi="Arial"/>
      <w:sz w:val="22"/>
      <w:szCs w:val="22"/>
    </w:rPr>
  </w:style>
  <w:style w:type="character" w:styleId="ListLabel226">
    <w:name w:val="ListLabel 226"/>
    <w:qFormat/>
    <w:rPr>
      <w:rFonts w:ascii="Arial" w:hAnsi="Arial"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Arial" w:hAnsi="Arial"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Arial" w:hAnsi="Arial"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b/>
      <w:color w:val="auto"/>
      <w:spacing w:val="-20"/>
      <w:u w:val="none" w:color="FFFFFF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Arial" w:hAnsi="Arial"/>
      <w:color w:val="000000"/>
      <w:lang w:val="en-US"/>
    </w:rPr>
  </w:style>
  <w:style w:type="character" w:styleId="ListLabel263">
    <w:name w:val="ListLabel 263"/>
    <w:qFormat/>
    <w:rPr>
      <w:rFonts w:ascii="Arial" w:hAnsi="Arial"/>
      <w:sz w:val="22"/>
      <w:szCs w:val="22"/>
    </w:rPr>
  </w:style>
  <w:style w:type="character" w:styleId="ListLabel264">
    <w:name w:val="ListLabel 264"/>
    <w:qFormat/>
    <w:rPr>
      <w:rFonts w:ascii="Arial" w:hAnsi="Arial"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Arial" w:hAnsi="Arial"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Arial" w:hAnsi="Arial"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  <w:b/>
      <w:color w:val="auto"/>
      <w:spacing w:val="-20"/>
      <w:u w:val="none" w:color="FFFFFF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Arial" w:hAnsi="Arial"/>
      <w:color w:val="000000"/>
      <w:lang w:val="en-US"/>
    </w:rPr>
  </w:style>
  <w:style w:type="character" w:styleId="ListLabel301">
    <w:name w:val="ListLabel 301"/>
    <w:qFormat/>
    <w:rPr>
      <w:rFonts w:ascii="Arial" w:hAnsi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6b6b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opka">
    <w:name w:val="Footer"/>
    <w:basedOn w:val="Normal"/>
    <w:link w:val="StopkaZnak"/>
    <w:uiPriority w:val="99"/>
    <w:unhideWhenUsed/>
    <w:rsid w:val="006b6b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6b5f6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Bodycopy" w:customStyle="1">
    <w:name w:val="body copy"/>
    <w:basedOn w:val="Normal"/>
    <w:uiPriority w:val="99"/>
    <w:qFormat/>
    <w:rsid w:val="00b61b9d"/>
    <w:pPr>
      <w:suppressAutoHyphens w:val="true"/>
      <w:spacing w:lineRule="atLeast" w:line="260"/>
      <w:textAlignment w:val="center"/>
    </w:pPr>
    <w:rPr>
      <w:rFonts w:ascii="Montserrat" w:hAnsi="Montserrat" w:cs="Montserrat"/>
      <w:color w:val="000000"/>
      <w:spacing w:val="2"/>
      <w:sz w:val="20"/>
      <w:szCs w:val="20"/>
    </w:rPr>
  </w:style>
  <w:style w:type="paragraph" w:styleId="Tytul" w:customStyle="1">
    <w:name w:val="tytul"/>
    <w:basedOn w:val="Bodycopy"/>
    <w:qFormat/>
    <w:rsid w:val="005b2604"/>
    <w:pPr>
      <w:spacing w:before="0" w:after="170"/>
    </w:pPr>
    <w:rPr>
      <w:rFonts w:ascii="Arial" w:hAnsi="Arial" w:cs="Arial"/>
      <w:b/>
      <w:bCs/>
      <w:color w:val="1184A8"/>
      <w:sz w:val="46"/>
      <w:szCs w:val="46"/>
    </w:rPr>
  </w:style>
  <w:style w:type="paragraph" w:styleId="Lead" w:customStyle="1">
    <w:name w:val="lead"/>
    <w:basedOn w:val="Bodycopy"/>
    <w:qFormat/>
    <w:rsid w:val="005b2604"/>
    <w:pPr>
      <w:spacing w:before="0" w:after="170"/>
    </w:pPr>
    <w:rPr>
      <w:rFonts w:ascii="Arial" w:hAnsi="Arial" w:cs="Arial"/>
      <w:b/>
      <w:bCs/>
      <w:color w:val="000000" w:themeColor="text1"/>
      <w:sz w:val="24"/>
      <w:szCs w:val="24"/>
    </w:rPr>
  </w:style>
  <w:style w:type="paragraph" w:styleId="Punktory" w:customStyle="1">
    <w:name w:val="punktory"/>
    <w:basedOn w:val="Bodycopy"/>
    <w:qFormat/>
    <w:rsid w:val="005b2604"/>
    <w:pPr>
      <w:spacing w:before="0" w:after="170"/>
    </w:pPr>
    <w:rPr>
      <w:rFonts w:ascii="Arial" w:hAnsi="Arial" w:cs="Arial"/>
      <w:sz w:val="24"/>
      <w:szCs w:val="24"/>
      <w:lang w:val="en-US"/>
    </w:rPr>
  </w:style>
  <w:style w:type="paragraph" w:styleId="Bodytekst" w:customStyle="1">
    <w:name w:val="body tekst"/>
    <w:basedOn w:val="Bodycopy"/>
    <w:qFormat/>
    <w:rsid w:val="005b2604"/>
    <w:pPr>
      <w:spacing w:before="0" w:after="170"/>
    </w:pPr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renata.obuchowska@stolampartow.pl" TargetMode="External"/><Relationship Id="rId5" Type="http://schemas.openxmlformats.org/officeDocument/2006/relationships/hyperlink" Target="https://www.pexps.pl/files/upload/files/201710-PEXPS-PNO-raport.pdf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Application>LibreOffice/6.2.2.2$MacOSX_X86_64 LibreOffice_project/2b840030fec2aae0fd2658d8d4f9548af4e3518d</Application>
  <Pages>5</Pages>
  <Words>2215</Words>
  <Characters>14448</Characters>
  <CharactersWithSpaces>16599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2022-04-14T12:04:00Z</dcterms:created>
  <dc:creator>Joanna Korolewska</dc:creator>
  <dc:description/>
  <dc:language>pl-PL</dc:language>
  <cp:lastModifiedBy/>
  <dcterms:modified xsi:type="dcterms:W3CDTF">2022-04-20T07:21:38Z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